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7B3E6" w14:textId="285A7A14" w:rsidR="008534AF" w:rsidRDefault="008534AF" w:rsidP="008534AF">
      <w:pPr>
        <w:rPr>
          <w:rFonts w:cstheme="minorHAnsi"/>
        </w:rPr>
      </w:pPr>
      <w:r w:rsidRPr="008534AF">
        <w:rPr>
          <w:rFonts w:cstheme="minorHAnsi"/>
        </w:rPr>
        <w:t>Kontrollfragen zur Vo</w:t>
      </w:r>
      <w:r w:rsidR="00790E2C">
        <w:rPr>
          <w:rFonts w:cstheme="minorHAnsi"/>
        </w:rPr>
        <w:t xml:space="preserve">rlesung "Wettbewerbsrecht" vom </w:t>
      </w:r>
      <w:r w:rsidR="0078343F">
        <w:rPr>
          <w:rFonts w:cstheme="minorHAnsi"/>
        </w:rPr>
        <w:t>30.5.2017</w:t>
      </w:r>
    </w:p>
    <w:p w14:paraId="594A9C7C" w14:textId="77777777" w:rsidR="008A7E8A" w:rsidRDefault="008A7E8A" w:rsidP="0078343F">
      <w:pPr>
        <w:pStyle w:val="Listenabsatz"/>
        <w:spacing w:after="0" w:line="360" w:lineRule="auto"/>
        <w:ind w:left="0"/>
        <w:jc w:val="both"/>
        <w:rPr>
          <w:rFonts w:cstheme="minorHAnsi"/>
        </w:rPr>
      </w:pPr>
    </w:p>
    <w:p w14:paraId="603ACD9B" w14:textId="77777777" w:rsidR="0078343F" w:rsidRPr="0078343F" w:rsidRDefault="0078343F" w:rsidP="0078343F">
      <w:pPr>
        <w:pStyle w:val="Listenabsatz"/>
        <w:spacing w:after="0" w:line="360" w:lineRule="auto"/>
        <w:ind w:left="0"/>
        <w:jc w:val="both"/>
        <w:rPr>
          <w:rFonts w:cstheme="minorHAnsi"/>
        </w:rPr>
      </w:pPr>
      <w:r w:rsidRPr="0078343F">
        <w:rPr>
          <w:rFonts w:cstheme="minorHAnsi"/>
        </w:rPr>
        <w:t>1) Welche Funktion hat eine Freistellung nach § 2 GWB im Gesamtkontext der Regelungen zum Kartellverbot?</w:t>
      </w:r>
    </w:p>
    <w:p w14:paraId="4AEE9AA2" w14:textId="77777777" w:rsidR="0078343F" w:rsidRPr="0078343F" w:rsidRDefault="0078343F" w:rsidP="0078343F">
      <w:pPr>
        <w:pStyle w:val="Listenabsatz"/>
        <w:spacing w:after="0" w:line="360" w:lineRule="auto"/>
        <w:ind w:left="0"/>
        <w:jc w:val="both"/>
        <w:rPr>
          <w:rFonts w:cstheme="minorHAnsi"/>
        </w:rPr>
      </w:pPr>
      <w:r w:rsidRPr="0078343F">
        <w:rPr>
          <w:rFonts w:cstheme="minorHAnsi"/>
        </w:rPr>
        <w:t xml:space="preserve"> </w:t>
      </w:r>
      <w:bookmarkStart w:id="0" w:name="_GoBack"/>
      <w:bookmarkEnd w:id="0"/>
    </w:p>
    <w:p w14:paraId="3EAF2533" w14:textId="77777777" w:rsidR="0078343F" w:rsidRPr="0078343F" w:rsidRDefault="0078343F" w:rsidP="0078343F">
      <w:pPr>
        <w:pStyle w:val="Listenabsatz"/>
        <w:spacing w:after="0" w:line="360" w:lineRule="auto"/>
        <w:ind w:left="0"/>
        <w:jc w:val="both"/>
        <w:rPr>
          <w:rFonts w:cstheme="minorHAnsi"/>
        </w:rPr>
      </w:pPr>
      <w:r w:rsidRPr="0078343F">
        <w:rPr>
          <w:rFonts w:cstheme="minorHAnsi"/>
        </w:rPr>
        <w:t>2) Warum ist eine Freistellung keine "Rechtfertigung" des kartellrechtswidrigen Verhaltens eines Unternehmens?</w:t>
      </w:r>
    </w:p>
    <w:p w14:paraId="6032E207" w14:textId="77777777" w:rsidR="0078343F" w:rsidRPr="0078343F" w:rsidRDefault="0078343F" w:rsidP="0078343F">
      <w:pPr>
        <w:pStyle w:val="Listenabsatz"/>
        <w:spacing w:after="0" w:line="360" w:lineRule="auto"/>
        <w:ind w:left="0"/>
        <w:jc w:val="both"/>
        <w:rPr>
          <w:rFonts w:cstheme="minorHAnsi"/>
        </w:rPr>
      </w:pPr>
      <w:r w:rsidRPr="0078343F">
        <w:rPr>
          <w:rFonts w:cstheme="minorHAnsi"/>
        </w:rPr>
        <w:t xml:space="preserve"> </w:t>
      </w:r>
    </w:p>
    <w:p w14:paraId="1B1611D8" w14:textId="77777777" w:rsidR="0078343F" w:rsidRPr="0078343F" w:rsidRDefault="0078343F" w:rsidP="0078343F">
      <w:pPr>
        <w:pStyle w:val="Listenabsatz"/>
        <w:spacing w:after="0" w:line="360" w:lineRule="auto"/>
        <w:ind w:left="0"/>
        <w:jc w:val="both"/>
        <w:rPr>
          <w:rFonts w:cstheme="minorHAnsi"/>
        </w:rPr>
      </w:pPr>
      <w:r w:rsidRPr="0078343F">
        <w:rPr>
          <w:rFonts w:cstheme="minorHAnsi"/>
        </w:rPr>
        <w:t>3) Welches sind die Voraussetzungen für eine Einzelfreistellung nach § 2 Abs. 1 GWB?</w:t>
      </w:r>
    </w:p>
    <w:p w14:paraId="38B74324" w14:textId="77777777" w:rsidR="0078343F" w:rsidRPr="0078343F" w:rsidRDefault="0078343F" w:rsidP="0078343F">
      <w:pPr>
        <w:pStyle w:val="Listenabsatz"/>
        <w:spacing w:after="0" w:line="360" w:lineRule="auto"/>
        <w:ind w:left="0"/>
        <w:jc w:val="both"/>
        <w:rPr>
          <w:rFonts w:cstheme="minorHAnsi"/>
        </w:rPr>
      </w:pPr>
      <w:r w:rsidRPr="0078343F">
        <w:rPr>
          <w:rFonts w:cstheme="minorHAnsi"/>
        </w:rPr>
        <w:t xml:space="preserve"> </w:t>
      </w:r>
    </w:p>
    <w:p w14:paraId="320A2663" w14:textId="22737FED" w:rsidR="0078343F" w:rsidRPr="008534AF" w:rsidRDefault="0078343F" w:rsidP="0078343F">
      <w:pPr>
        <w:pStyle w:val="Listenabsatz"/>
        <w:spacing w:after="0" w:line="360" w:lineRule="auto"/>
        <w:ind w:left="0"/>
        <w:jc w:val="both"/>
        <w:rPr>
          <w:rFonts w:cstheme="minorHAnsi"/>
        </w:rPr>
      </w:pPr>
      <w:r w:rsidRPr="0078343F">
        <w:rPr>
          <w:rFonts w:cstheme="minorHAnsi"/>
        </w:rPr>
        <w:t>4) Was ist der Unte</w:t>
      </w:r>
      <w:r>
        <w:rPr>
          <w:rFonts w:cstheme="minorHAnsi"/>
        </w:rPr>
        <w:t>r</w:t>
      </w:r>
      <w:r w:rsidRPr="0078343F">
        <w:rPr>
          <w:rFonts w:cstheme="minorHAnsi"/>
        </w:rPr>
        <w:t>schied zwischen einer Einzelfreistellung nach § 2 Abs</w:t>
      </w:r>
      <w:r>
        <w:rPr>
          <w:rFonts w:cstheme="minorHAnsi"/>
        </w:rPr>
        <w:t>.</w:t>
      </w:r>
      <w:r w:rsidRPr="0078343F">
        <w:rPr>
          <w:rFonts w:cstheme="minorHAnsi"/>
        </w:rPr>
        <w:t xml:space="preserve"> 1 GWB und einer Gruppenfreistellung nach § 2 Abs. 2 GWB und wie ist das Verhältnis zwischen Einzel</w:t>
      </w:r>
      <w:r>
        <w:rPr>
          <w:rFonts w:cstheme="minorHAnsi"/>
        </w:rPr>
        <w:t>freistellung</w:t>
      </w:r>
      <w:r w:rsidR="000F65D0">
        <w:rPr>
          <w:rFonts w:cstheme="minorHAnsi"/>
        </w:rPr>
        <w:tab/>
      </w:r>
      <w:r w:rsidRPr="0078343F">
        <w:rPr>
          <w:rFonts w:cstheme="minorHAnsi"/>
        </w:rPr>
        <w:t xml:space="preserve"> und Gruppenfreistellung konzipiert?</w:t>
      </w:r>
    </w:p>
    <w:sectPr w:rsidR="0078343F" w:rsidRPr="008534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B1DED"/>
    <w:multiLevelType w:val="hybridMultilevel"/>
    <w:tmpl w:val="45DA34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6418B"/>
    <w:multiLevelType w:val="hybridMultilevel"/>
    <w:tmpl w:val="DAE887EC"/>
    <w:lvl w:ilvl="0" w:tplc="49940A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8A"/>
    <w:rsid w:val="000F65D0"/>
    <w:rsid w:val="005F6D9E"/>
    <w:rsid w:val="0078343F"/>
    <w:rsid w:val="00790E2C"/>
    <w:rsid w:val="008534AF"/>
    <w:rsid w:val="008A7E8A"/>
    <w:rsid w:val="008D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ECEEB"/>
  <w15:docId w15:val="{605F6980-8DA0-4D39-BAD3-2666A1E7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0AB2A-C490-4780-8429-9A8B2BAD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Richardt</dc:creator>
  <cp:keywords/>
  <dc:description/>
  <cp:lastModifiedBy>Daniel Könen</cp:lastModifiedBy>
  <cp:revision>5</cp:revision>
  <dcterms:created xsi:type="dcterms:W3CDTF">2017-05-29T11:55:00Z</dcterms:created>
  <dcterms:modified xsi:type="dcterms:W3CDTF">2017-06-06T12:47:00Z</dcterms:modified>
</cp:coreProperties>
</file>